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272" w:rsidRPr="007B0272" w:rsidRDefault="007B0272" w:rsidP="007B0272">
      <w:pPr>
        <w:widowControl w:val="0"/>
        <w:autoSpaceDE w:val="0"/>
        <w:autoSpaceDN w:val="0"/>
        <w:adjustRightInd w:val="0"/>
        <w:spacing w:before="29" w:after="0" w:line="263" w:lineRule="auto"/>
        <w:ind w:left="107" w:right="1315"/>
        <w:jc w:val="both"/>
        <w:rPr>
          <w:rFonts w:ascii="Courier New" w:hAnsi="Courier New" w:cs="Courier New"/>
          <w:b/>
          <w:bCs/>
          <w:color w:val="5B2B6E"/>
          <w:sz w:val="25"/>
          <w:szCs w:val="25"/>
        </w:rPr>
      </w:pPr>
      <w:r w:rsidRPr="007B0272">
        <w:rPr>
          <w:rFonts w:ascii="Courier New" w:hAnsi="Courier New" w:cs="Courier New"/>
          <w:b/>
          <w:bCs/>
          <w:color w:val="5B2B6E"/>
          <w:sz w:val="25"/>
          <w:szCs w:val="25"/>
        </w:rPr>
        <w:t>6.5.2 - The institution reviews its teaching learning process, structures &amp; methodologies of operations and learning outcomes at periodic intervals through IQAC set up as per norms and recorded the incremental improvement in various activities</w:t>
      </w:r>
      <w:r>
        <w:rPr>
          <w:rFonts w:ascii="Courier New" w:hAnsi="Courier New" w:cs="Courier New"/>
          <w:b/>
          <w:bCs/>
          <w:color w:val="5B2B6E"/>
          <w:sz w:val="25"/>
          <w:szCs w:val="25"/>
        </w:rPr>
        <w:t>.</w:t>
      </w:r>
    </w:p>
    <w:p w:rsidR="007B0272" w:rsidRDefault="007B0272" w:rsidP="007B0272">
      <w:pPr>
        <w:widowControl w:val="0"/>
        <w:autoSpaceDE w:val="0"/>
        <w:autoSpaceDN w:val="0"/>
        <w:adjustRightInd w:val="0"/>
        <w:spacing w:after="0" w:line="266" w:lineRule="auto"/>
        <w:ind w:left="107" w:right="757"/>
        <w:jc w:val="both"/>
        <w:rPr>
          <w:rFonts w:ascii="Courier New" w:hAnsi="Courier New" w:cs="Courier New"/>
          <w:color w:val="000000"/>
          <w:sz w:val="25"/>
          <w:szCs w:val="25"/>
        </w:rPr>
      </w:pPr>
      <w:r>
        <w:rPr>
          <w:rFonts w:ascii="Courier New" w:hAnsi="Courier New" w:cs="Courier New"/>
          <w:b/>
          <w:bCs/>
          <w:color w:val="5B2B6E"/>
          <w:sz w:val="25"/>
          <w:szCs w:val="25"/>
        </w:rPr>
        <w:t>(1) To have an effective teaching-learning process during the pandemic through virtual mode, IQAC has taken initiative such that all the students are provided with class notes as per the Class Schedule, after the on-line mode of teaching is over through Google Meet. IQAC further advised to take virtual lab classes following the MHRD virtual lab portal. Institute also took initiative for recording of videos of real-time lab execution and sharing with the students.</w:t>
      </w:r>
    </w:p>
    <w:p w:rsidR="007B0272" w:rsidRDefault="007B0272" w:rsidP="007B0272">
      <w:pPr>
        <w:widowControl w:val="0"/>
        <w:autoSpaceDE w:val="0"/>
        <w:autoSpaceDN w:val="0"/>
        <w:adjustRightInd w:val="0"/>
        <w:spacing w:after="0" w:line="266" w:lineRule="auto"/>
        <w:ind w:left="107" w:right="1210"/>
        <w:jc w:val="both"/>
        <w:rPr>
          <w:rFonts w:ascii="Courier New" w:hAnsi="Courier New" w:cs="Courier New"/>
          <w:color w:val="000000"/>
          <w:sz w:val="25"/>
          <w:szCs w:val="25"/>
        </w:rPr>
      </w:pPr>
      <w:r>
        <w:rPr>
          <w:rFonts w:ascii="Courier New" w:hAnsi="Courier New" w:cs="Courier New"/>
          <w:b/>
          <w:bCs/>
          <w:color w:val="5B2B6E"/>
          <w:sz w:val="25"/>
          <w:szCs w:val="25"/>
        </w:rPr>
        <w:t>IQAC further suggested that the students should be counseled through the Mentors to reduce the stress in students during the pandemic. Faculty Mentors remained always in touch with the Mentees and took care of the students as their Guardians which improved personal bonding, teaching-learning process and improvement of attendance.</w:t>
      </w:r>
    </w:p>
    <w:p w:rsidR="007B0272" w:rsidRDefault="007B0272" w:rsidP="007B0272">
      <w:pPr>
        <w:widowControl w:val="0"/>
        <w:autoSpaceDE w:val="0"/>
        <w:autoSpaceDN w:val="0"/>
        <w:adjustRightInd w:val="0"/>
        <w:spacing w:before="5" w:after="0" w:line="110" w:lineRule="exact"/>
        <w:jc w:val="both"/>
        <w:rPr>
          <w:rFonts w:ascii="Courier New" w:hAnsi="Courier New" w:cs="Courier New"/>
          <w:color w:val="000000"/>
          <w:sz w:val="11"/>
          <w:szCs w:val="11"/>
        </w:rPr>
      </w:pPr>
    </w:p>
    <w:p w:rsidR="007B0272" w:rsidRDefault="007B0272" w:rsidP="007B0272">
      <w:pPr>
        <w:widowControl w:val="0"/>
        <w:autoSpaceDE w:val="0"/>
        <w:autoSpaceDN w:val="0"/>
        <w:adjustRightInd w:val="0"/>
        <w:spacing w:after="0" w:line="266" w:lineRule="auto"/>
        <w:ind w:left="107" w:right="908"/>
        <w:jc w:val="both"/>
        <w:rPr>
          <w:rFonts w:ascii="Courier New" w:hAnsi="Courier New" w:cs="Courier New"/>
          <w:color w:val="000000"/>
          <w:sz w:val="25"/>
          <w:szCs w:val="25"/>
        </w:rPr>
      </w:pPr>
      <w:r>
        <w:rPr>
          <w:rFonts w:ascii="Courier New" w:hAnsi="Courier New" w:cs="Courier New"/>
          <w:b/>
          <w:bCs/>
          <w:color w:val="5B2B6E"/>
          <w:sz w:val="25"/>
          <w:szCs w:val="25"/>
        </w:rPr>
        <w:t>(2) IQAC suggested for Academic-Administrative Audits for all the departments to be made mandatory for overall improvement of teaching-learning process at large with the hope that after the Institute opens in physical mode, the same may be conducted. IQAC has conducted academic audit for all departments.</w:t>
      </w:r>
    </w:p>
    <w:p w:rsidR="007B0272" w:rsidRDefault="007B0272" w:rsidP="007B0272">
      <w:pPr>
        <w:widowControl w:val="0"/>
        <w:autoSpaceDE w:val="0"/>
        <w:autoSpaceDN w:val="0"/>
        <w:adjustRightInd w:val="0"/>
        <w:spacing w:before="5" w:after="0" w:line="110" w:lineRule="exact"/>
        <w:jc w:val="both"/>
        <w:rPr>
          <w:rFonts w:ascii="Courier New" w:hAnsi="Courier New" w:cs="Courier New"/>
          <w:color w:val="000000"/>
          <w:sz w:val="11"/>
          <w:szCs w:val="11"/>
        </w:rPr>
      </w:pPr>
    </w:p>
    <w:p w:rsidR="007B0272" w:rsidRDefault="007B0272" w:rsidP="007B0272">
      <w:pPr>
        <w:widowControl w:val="0"/>
        <w:autoSpaceDE w:val="0"/>
        <w:autoSpaceDN w:val="0"/>
        <w:adjustRightInd w:val="0"/>
        <w:spacing w:after="0" w:line="200" w:lineRule="exact"/>
        <w:jc w:val="both"/>
        <w:rPr>
          <w:rFonts w:ascii="Courier New" w:hAnsi="Courier New" w:cs="Courier New"/>
          <w:color w:val="000000"/>
          <w:sz w:val="20"/>
          <w:szCs w:val="20"/>
        </w:rPr>
      </w:pPr>
    </w:p>
    <w:p w:rsidR="007B0272" w:rsidRDefault="007B0272" w:rsidP="007B0272">
      <w:pPr>
        <w:widowControl w:val="0"/>
        <w:autoSpaceDE w:val="0"/>
        <w:autoSpaceDN w:val="0"/>
        <w:adjustRightInd w:val="0"/>
        <w:spacing w:after="0" w:line="240" w:lineRule="auto"/>
        <w:ind w:left="107"/>
        <w:jc w:val="both"/>
        <w:rPr>
          <w:rFonts w:ascii="Courier New" w:hAnsi="Courier New" w:cs="Courier New"/>
          <w:color w:val="000000"/>
          <w:sz w:val="25"/>
          <w:szCs w:val="25"/>
        </w:rPr>
      </w:pPr>
      <w:r>
        <w:rPr>
          <w:rFonts w:ascii="Courier New" w:hAnsi="Courier New" w:cs="Courier New"/>
          <w:b/>
          <w:bCs/>
          <w:color w:val="5B2B6E"/>
          <w:sz w:val="25"/>
          <w:szCs w:val="25"/>
        </w:rPr>
        <w:t>(3) Re-structuring of Feedback system following the OBE process</w:t>
      </w:r>
    </w:p>
    <w:p w:rsidR="007B0272" w:rsidRDefault="007B0272" w:rsidP="007B0272">
      <w:pPr>
        <w:widowControl w:val="0"/>
        <w:autoSpaceDE w:val="0"/>
        <w:autoSpaceDN w:val="0"/>
        <w:adjustRightInd w:val="0"/>
        <w:spacing w:before="7" w:after="0" w:line="140" w:lineRule="exact"/>
        <w:jc w:val="both"/>
        <w:rPr>
          <w:rFonts w:ascii="Courier New" w:hAnsi="Courier New" w:cs="Courier New"/>
          <w:color w:val="000000"/>
          <w:sz w:val="14"/>
          <w:szCs w:val="14"/>
        </w:rPr>
      </w:pPr>
    </w:p>
    <w:p w:rsidR="007B0272" w:rsidRDefault="007B0272" w:rsidP="007B0272">
      <w:pPr>
        <w:widowControl w:val="0"/>
        <w:autoSpaceDE w:val="0"/>
        <w:autoSpaceDN w:val="0"/>
        <w:adjustRightInd w:val="0"/>
        <w:spacing w:after="0" w:line="266" w:lineRule="auto"/>
        <w:ind w:left="107" w:right="908"/>
        <w:jc w:val="both"/>
        <w:rPr>
          <w:rFonts w:ascii="Courier New" w:hAnsi="Courier New" w:cs="Courier New"/>
          <w:color w:val="000000"/>
          <w:sz w:val="25"/>
          <w:szCs w:val="25"/>
        </w:rPr>
      </w:pPr>
      <w:r>
        <w:rPr>
          <w:rFonts w:ascii="Courier New" w:hAnsi="Courier New" w:cs="Courier New"/>
          <w:b/>
          <w:bCs/>
          <w:color w:val="5B2B6E"/>
          <w:sz w:val="25"/>
          <w:szCs w:val="25"/>
        </w:rPr>
        <w:t>IQAC suggested that Feedback system should be re-structured following the OBE process and the corrective measures should be taken by the departments for implementation. Following the advice of IQAC, the Feedback structure was totally re-vamped and the</w:t>
      </w:r>
    </w:p>
    <w:p w:rsidR="007B0272" w:rsidRDefault="007B0272" w:rsidP="007B0272">
      <w:pPr>
        <w:widowControl w:val="0"/>
        <w:autoSpaceDE w:val="0"/>
        <w:autoSpaceDN w:val="0"/>
        <w:adjustRightInd w:val="0"/>
        <w:spacing w:after="0" w:line="266" w:lineRule="auto"/>
        <w:ind w:left="107" w:right="757"/>
        <w:jc w:val="both"/>
        <w:rPr>
          <w:rFonts w:ascii="Courier New" w:hAnsi="Courier New" w:cs="Courier New"/>
          <w:color w:val="000000"/>
          <w:sz w:val="25"/>
          <w:szCs w:val="25"/>
        </w:rPr>
      </w:pPr>
      <w:r>
        <w:rPr>
          <w:rFonts w:ascii="Courier New" w:hAnsi="Courier New" w:cs="Courier New"/>
          <w:b/>
          <w:bCs/>
          <w:color w:val="5B2B6E"/>
          <w:sz w:val="25"/>
          <w:szCs w:val="25"/>
        </w:rPr>
        <w:t xml:space="preserve">total feedback analysis (Students, Faculty, Alumni, and Employers) has been displayed in the college website. Even the Student Satisfaction Survey (SSS) Analysis regarding Teaching – Learning and Evaluation has been made to upgrade the quality in higher </w:t>
      </w:r>
      <w:r>
        <w:rPr>
          <w:rFonts w:ascii="Courier New" w:hAnsi="Courier New" w:cs="Courier New"/>
          <w:b/>
          <w:bCs/>
          <w:color w:val="5B2B6E"/>
          <w:position w:val="1"/>
          <w:sz w:val="25"/>
          <w:szCs w:val="25"/>
        </w:rPr>
        <w:t>education.</w:t>
      </w:r>
    </w:p>
    <w:p w:rsidR="00EB7C18" w:rsidRPr="007B0272" w:rsidRDefault="00EB7C18" w:rsidP="007B0272">
      <w:pPr>
        <w:rPr>
          <w:szCs w:val="20"/>
        </w:rPr>
      </w:pPr>
    </w:p>
    <w:sectPr w:rsidR="00EB7C18" w:rsidRPr="007B0272" w:rsidSect="006736EE">
      <w:pgSz w:w="12240" w:h="15840"/>
      <w:pgMar w:top="1440" w:right="1440" w:bottom="1440" w:left="851"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C1B" w:rsidRDefault="007F6C1B" w:rsidP="00C528C8">
      <w:pPr>
        <w:spacing w:after="0" w:line="240" w:lineRule="auto"/>
      </w:pPr>
      <w:r>
        <w:separator/>
      </w:r>
    </w:p>
  </w:endnote>
  <w:endnote w:type="continuationSeparator" w:id="1">
    <w:p w:rsidR="007F6C1B" w:rsidRDefault="007F6C1B" w:rsidP="00C52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C1B" w:rsidRDefault="007F6C1B" w:rsidP="00C528C8">
      <w:pPr>
        <w:spacing w:after="0" w:line="240" w:lineRule="auto"/>
      </w:pPr>
      <w:r>
        <w:separator/>
      </w:r>
    </w:p>
  </w:footnote>
  <w:footnote w:type="continuationSeparator" w:id="1">
    <w:p w:rsidR="007F6C1B" w:rsidRDefault="007F6C1B" w:rsidP="00C528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0589"/>
    <w:rsid w:val="00000589"/>
    <w:rsid w:val="001C62CC"/>
    <w:rsid w:val="001D1AD5"/>
    <w:rsid w:val="00202970"/>
    <w:rsid w:val="0030293A"/>
    <w:rsid w:val="003C5C12"/>
    <w:rsid w:val="00406649"/>
    <w:rsid w:val="0041245D"/>
    <w:rsid w:val="004A4E2C"/>
    <w:rsid w:val="00510C49"/>
    <w:rsid w:val="00521CE1"/>
    <w:rsid w:val="00584BFE"/>
    <w:rsid w:val="006736EE"/>
    <w:rsid w:val="00777F32"/>
    <w:rsid w:val="007A0B83"/>
    <w:rsid w:val="007B0272"/>
    <w:rsid w:val="007F6C1B"/>
    <w:rsid w:val="008275A1"/>
    <w:rsid w:val="0095042B"/>
    <w:rsid w:val="009D102E"/>
    <w:rsid w:val="00A64019"/>
    <w:rsid w:val="00B8069E"/>
    <w:rsid w:val="00BE7A4C"/>
    <w:rsid w:val="00C528C8"/>
    <w:rsid w:val="00C919EC"/>
    <w:rsid w:val="00CD377A"/>
    <w:rsid w:val="00D00E11"/>
    <w:rsid w:val="00D2559E"/>
    <w:rsid w:val="00E52247"/>
    <w:rsid w:val="00EB7C18"/>
    <w:rsid w:val="00EF1857"/>
    <w:rsid w:val="00F8531D"/>
    <w:rsid w:val="00FA700B"/>
    <w:rsid w:val="00FE1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2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8C8"/>
    <w:rPr>
      <w:rFonts w:eastAsiaTheme="minorEastAsia"/>
    </w:rPr>
  </w:style>
  <w:style w:type="paragraph" w:styleId="Footer">
    <w:name w:val="footer"/>
    <w:basedOn w:val="Normal"/>
    <w:link w:val="FooterChar"/>
    <w:uiPriority w:val="99"/>
    <w:semiHidden/>
    <w:unhideWhenUsed/>
    <w:rsid w:val="00C528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28C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CIVIL</cp:lastModifiedBy>
  <cp:revision>13</cp:revision>
  <dcterms:created xsi:type="dcterms:W3CDTF">2026-06-22T04:37:00Z</dcterms:created>
  <dcterms:modified xsi:type="dcterms:W3CDTF">2026-06-22T05:54:00Z</dcterms:modified>
</cp:coreProperties>
</file>