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DD9" w:rsidRDefault="00CE2DD9" w:rsidP="00CE2DD9">
      <w:pPr>
        <w:pStyle w:val="NormalWeb"/>
        <w:jc w:val="both"/>
      </w:pPr>
      <w:r>
        <w:rPr>
          <w:rStyle w:val="Strong"/>
        </w:rPr>
        <w:t>Annual Report on R&amp;D, IPR, and Entrepreneurship Activities (AY 2024–25)</w:t>
      </w:r>
    </w:p>
    <w:p w:rsidR="00CE2DD9" w:rsidRDefault="00CE2DD9" w:rsidP="00CE2DD9">
      <w:pPr>
        <w:pStyle w:val="NormalWeb"/>
        <w:jc w:val="both"/>
      </w:pPr>
      <w:r>
        <w:t>During the Academic Year 2024–25, the institution continued to strengthen its ecosystem of research, innovation, intellectual property, and entrepreneurship through various academic and industry-oriented initiatives. The R&amp;D Cell actively encouraged faculty members to undertake quality research and submit project proposals to funding agencies such as AICTE, DST, and other organizations. Efforts were made to promote interdisciplinary research, publication, consultancy, and collaborative activities for academic excellence.</w:t>
      </w:r>
    </w:p>
    <w:p w:rsidR="00CE2DD9" w:rsidRDefault="00CE2DD9" w:rsidP="00CE2DD9">
      <w:pPr>
        <w:pStyle w:val="NormalWeb"/>
        <w:jc w:val="both"/>
      </w:pPr>
      <w:r>
        <w:t>To enhance faculty competency and improve teaching-learning practices, Faculty Development Programmes (FDPs), including AICTE ATAL FDPs, seminars, and workshops, were organized on emerging technologies and research methodologies. The institution also promoted innovation through the AICTE-IDEA Lab and the CDAC Lab, providing students and faculty with opportunities for hands-on experimentation, skill enhancement, and project development.</w:t>
      </w:r>
    </w:p>
    <w:p w:rsidR="00CE2DD9" w:rsidRDefault="00CE2DD9" w:rsidP="00CE2DD9">
      <w:pPr>
        <w:pStyle w:val="NormalWeb"/>
        <w:jc w:val="both"/>
      </w:pPr>
      <w:r>
        <w:t xml:space="preserve">The IPR Cell continued to create awareness regarding patent filing, copyright, and innovation protection, encouraging faculty and students to participate in patent-related activities. The Entrepreneurship Cell and Institution’s Innovation Council (IIC) organized seminars, </w:t>
      </w:r>
      <w:proofErr w:type="spellStart"/>
      <w:r>
        <w:t>startup</w:t>
      </w:r>
      <w:proofErr w:type="spellEnd"/>
      <w:r>
        <w:t xml:space="preserve"> awareness programs, expert talks, and workshops to nurture entrepreneurial thinking among students.</w:t>
      </w:r>
    </w:p>
    <w:p w:rsidR="00CE2DD9" w:rsidRDefault="00CE2DD9" w:rsidP="00CE2DD9">
      <w:pPr>
        <w:pStyle w:val="NormalWeb"/>
        <w:jc w:val="both"/>
      </w:pPr>
      <w:r>
        <w:t>Collaborations with industry partners, including training platforms and academic partners, facilitated internships, skill development, research exposure, and placement opportunities. Financial support and incentives were provided for organizing STTPs, conferences, symposiums, and research activities, thereby fostering innovation, academic growth, and industry readiness among students and faculty.</w:t>
      </w:r>
      <w:bookmarkStart w:id="0" w:name="_GoBack"/>
      <w:bookmarkEnd w:id="0"/>
    </w:p>
    <w:p w:rsidR="00B76C8A" w:rsidRDefault="00B76C8A"/>
    <w:sectPr w:rsidR="00B76C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E0E"/>
    <w:rsid w:val="005C5E0E"/>
    <w:rsid w:val="00B76C8A"/>
    <w:rsid w:val="00CE2D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2DD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E2D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2DD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E2D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38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 HOD</dc:creator>
  <cp:keywords/>
  <dc:description/>
  <cp:lastModifiedBy>MCA HOD</cp:lastModifiedBy>
  <cp:revision>2</cp:revision>
  <dcterms:created xsi:type="dcterms:W3CDTF">2026-05-26T07:42:00Z</dcterms:created>
  <dcterms:modified xsi:type="dcterms:W3CDTF">2026-05-26T07:42:00Z</dcterms:modified>
</cp:coreProperties>
</file>