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B8" w:rsidRPr="00A33BB8" w:rsidRDefault="00A33BB8" w:rsidP="00A33BB8">
      <w:pPr>
        <w:jc w:val="center"/>
        <w:rPr>
          <w:rFonts w:ascii="Century Schoolbook" w:hAnsi="Century Schoolbook"/>
          <w:b/>
          <w:sz w:val="28"/>
        </w:rPr>
      </w:pPr>
      <w:r w:rsidRPr="00A33BB8">
        <w:rPr>
          <w:rFonts w:ascii="Century Schoolbook" w:hAnsi="Century Schoolbook"/>
          <w:b/>
          <w:sz w:val="28"/>
        </w:rPr>
        <w:t>Dr. B. C. Roy Engineering College</w:t>
      </w:r>
    </w:p>
    <w:p w:rsidR="00A33BB8" w:rsidRPr="00A33BB8" w:rsidRDefault="00A33BB8" w:rsidP="00A33BB8">
      <w:pPr>
        <w:jc w:val="center"/>
        <w:rPr>
          <w:rFonts w:ascii="Century Schoolbook" w:hAnsi="Century Schoolbook"/>
          <w:b/>
          <w:sz w:val="24"/>
        </w:rPr>
      </w:pPr>
      <w:r w:rsidRPr="00A33BB8">
        <w:rPr>
          <w:rFonts w:ascii="Century Schoolbook" w:hAnsi="Century Schoolbook"/>
          <w:b/>
          <w:sz w:val="24"/>
        </w:rPr>
        <w:t>NAAC Report</w:t>
      </w:r>
    </w:p>
    <w:p w:rsidR="00A33BB8" w:rsidRPr="00A33BB8" w:rsidRDefault="00A33BB8" w:rsidP="00A33BB8">
      <w:pPr>
        <w:jc w:val="both"/>
        <w:rPr>
          <w:rFonts w:ascii="Century Schoolbook" w:hAnsi="Century Schoolbook"/>
          <w:b/>
          <w:sz w:val="24"/>
        </w:rPr>
      </w:pPr>
      <w:r w:rsidRPr="00A33BB8">
        <w:rPr>
          <w:rFonts w:ascii="Century Schoolbook" w:hAnsi="Century Schoolbook"/>
          <w:b/>
          <w:sz w:val="24"/>
        </w:rPr>
        <w:t>Gender Equity</w:t>
      </w:r>
    </w:p>
    <w:p w:rsidR="0017148A" w:rsidRDefault="00A33BB8" w:rsidP="00A33BB8">
      <w:pPr>
        <w:jc w:val="both"/>
        <w:rPr>
          <w:rFonts w:ascii="Century Schoolbook" w:hAnsi="Century Schoolbook"/>
        </w:rPr>
      </w:pPr>
      <w:r w:rsidRPr="00A33BB8">
        <w:rPr>
          <w:rFonts w:ascii="Century Schoolbook" w:hAnsi="Century Schoolbook"/>
        </w:rPr>
        <w:t>Committees are formed to address issues like Sexual Harassment of Women at the Workplace, Women's Grievances, and complaints. These committees hold regular meetings to ensure that safety and security are maintained in these matters. The notices for these committees, along with their meeting minutes, are attached below.</w:t>
      </w:r>
    </w:p>
    <w:p w:rsidR="00A33BB8" w:rsidRDefault="00A33BB8" w:rsidP="00A33BB8">
      <w:pPr>
        <w:jc w:val="both"/>
        <w:rPr>
          <w:rFonts w:ascii="Century Schoolbook" w:hAnsi="Century Schoolbook"/>
        </w:rPr>
      </w:pPr>
    </w:p>
    <w:p w:rsidR="00A33BB8" w:rsidRPr="00A33BB8" w:rsidRDefault="00A33BB8" w:rsidP="00A33BB8">
      <w:pPr>
        <w:spacing w:line="25" w:lineRule="atLeast"/>
        <w:jc w:val="both"/>
        <w:rPr>
          <w:rFonts w:ascii="Century Schoolbook" w:hAnsi="Century Schoolbook"/>
          <w:b/>
        </w:rPr>
      </w:pPr>
      <w:r w:rsidRPr="00A33BB8">
        <w:rPr>
          <w:rFonts w:ascii="Century Schoolbook" w:hAnsi="Century Schoolbook"/>
          <w:b/>
        </w:rPr>
        <w:t>Section: 7.1.1 Measures initiated by the Institution for the promotion of gender equity</w:t>
      </w:r>
    </w:p>
    <w:p w:rsidR="00A33BB8" w:rsidRPr="00A33BB8" w:rsidRDefault="00A33BB8" w:rsidP="00A33BB8">
      <w:pPr>
        <w:pStyle w:val="NormalWeb"/>
        <w:spacing w:before="0" w:beforeAutospacing="0" w:after="0" w:afterAutospacing="0" w:line="300" w:lineRule="auto"/>
        <w:jc w:val="both"/>
        <w:rPr>
          <w:rFonts w:ascii="Century Schoolbook" w:hAnsi="Century Schoolbook"/>
          <w:sz w:val="22"/>
          <w:szCs w:val="22"/>
        </w:rPr>
      </w:pPr>
      <w:r w:rsidRPr="00A33BB8">
        <w:rPr>
          <w:rFonts w:ascii="Century Schoolbook" w:hAnsi="Century Schoolbook"/>
          <w:sz w:val="22"/>
          <w:szCs w:val="22"/>
        </w:rPr>
        <w:t>Our institute ensures gender sensitivity through the following measures:</w:t>
      </w:r>
    </w:p>
    <w:p w:rsidR="00A33BB8" w:rsidRPr="00A33BB8" w:rsidRDefault="00A33BB8" w:rsidP="00A33BB8">
      <w:pPr>
        <w:pStyle w:val="NormalWeb"/>
        <w:numPr>
          <w:ilvl w:val="0"/>
          <w:numId w:val="1"/>
        </w:numPr>
        <w:spacing w:before="0" w:beforeAutospacing="0" w:after="0" w:afterAutospacing="0" w:line="300" w:lineRule="auto"/>
        <w:jc w:val="both"/>
        <w:rPr>
          <w:rStyle w:val="Strong"/>
          <w:rFonts w:ascii="Century Schoolbook" w:hAnsi="Century Schoolbook"/>
          <w:b w:val="0"/>
          <w:bCs w:val="0"/>
          <w:sz w:val="22"/>
          <w:szCs w:val="22"/>
        </w:rPr>
      </w:pPr>
      <w:r w:rsidRPr="00A33BB8">
        <w:rPr>
          <w:rStyle w:val="Strong"/>
          <w:rFonts w:ascii="Century Schoolbook" w:hAnsi="Century Schoolbook"/>
          <w:sz w:val="22"/>
          <w:szCs w:val="22"/>
        </w:rPr>
        <w:t>Safety and Security</w:t>
      </w:r>
    </w:p>
    <w:p w:rsidR="00A33BB8" w:rsidRPr="00A33BB8" w:rsidRDefault="00A33BB8" w:rsidP="00A33BB8">
      <w:pPr>
        <w:pStyle w:val="NormalWeb"/>
        <w:spacing w:before="0" w:beforeAutospacing="0" w:after="0" w:afterAutospacing="0" w:line="300" w:lineRule="auto"/>
        <w:ind w:left="720"/>
        <w:jc w:val="both"/>
        <w:rPr>
          <w:rFonts w:ascii="Century Schoolbook" w:hAnsi="Century Schoolbook"/>
          <w:sz w:val="22"/>
          <w:szCs w:val="22"/>
        </w:rPr>
      </w:pPr>
      <w:r w:rsidRPr="00A33BB8">
        <w:rPr>
          <w:rFonts w:ascii="Century Schoolbook" w:hAnsi="Century Schoolbook"/>
          <w:sz w:val="22"/>
          <w:szCs w:val="22"/>
        </w:rPr>
        <w:t>We prioritize the safety and well-being of our students, faculty, and staff. Measures are taken to ensure their physical, mental, and social security by following standard and updated guidelines. The Campus Administrator has framed specific safety and security guidelines for the campus, which are included as a supporting document. A sample of these guidelines is provided below, and the complete document is available as an additional resource.</w:t>
      </w:r>
    </w:p>
    <w:p w:rsidR="00A33BB8" w:rsidRPr="00A33BB8" w:rsidRDefault="00A33BB8" w:rsidP="00A33BB8">
      <w:pPr>
        <w:pStyle w:val="NormalWeb"/>
        <w:numPr>
          <w:ilvl w:val="0"/>
          <w:numId w:val="1"/>
        </w:numPr>
        <w:spacing w:before="0" w:beforeAutospacing="0" w:after="0" w:afterAutospacing="0" w:line="300" w:lineRule="auto"/>
        <w:jc w:val="both"/>
        <w:rPr>
          <w:rFonts w:ascii="Century Schoolbook" w:hAnsi="Century Schoolbook"/>
          <w:sz w:val="22"/>
          <w:szCs w:val="22"/>
        </w:rPr>
      </w:pPr>
      <w:r w:rsidRPr="00A33BB8">
        <w:rPr>
          <w:rStyle w:val="Strong"/>
          <w:rFonts w:ascii="Century Schoolbook" w:hAnsi="Century Schoolbook"/>
          <w:sz w:val="22"/>
          <w:szCs w:val="22"/>
        </w:rPr>
        <w:t>Counseling</w:t>
      </w:r>
    </w:p>
    <w:p w:rsidR="00A33BB8" w:rsidRPr="00A33BB8" w:rsidRDefault="00A33BB8" w:rsidP="00A33BB8">
      <w:pPr>
        <w:pStyle w:val="NormalWeb"/>
        <w:numPr>
          <w:ilvl w:val="0"/>
          <w:numId w:val="1"/>
        </w:numPr>
        <w:spacing w:before="0" w:beforeAutospacing="0" w:after="0" w:afterAutospacing="0" w:line="300" w:lineRule="auto"/>
        <w:jc w:val="both"/>
        <w:rPr>
          <w:rFonts w:ascii="Century Schoolbook" w:hAnsi="Century Schoolbook"/>
          <w:sz w:val="22"/>
          <w:szCs w:val="22"/>
        </w:rPr>
      </w:pPr>
      <w:r w:rsidRPr="00A33BB8">
        <w:rPr>
          <w:rStyle w:val="Strong"/>
          <w:rFonts w:ascii="Century Schoolbook" w:hAnsi="Century Schoolbook"/>
          <w:sz w:val="22"/>
          <w:szCs w:val="22"/>
        </w:rPr>
        <w:t>Common Rooms</w:t>
      </w:r>
    </w:p>
    <w:p w:rsidR="00A33BB8" w:rsidRPr="00A33BB8" w:rsidRDefault="00A33BB8" w:rsidP="00A33BB8">
      <w:pPr>
        <w:pStyle w:val="NormalWeb"/>
        <w:numPr>
          <w:ilvl w:val="0"/>
          <w:numId w:val="1"/>
        </w:numPr>
        <w:spacing w:before="0" w:beforeAutospacing="0" w:after="0" w:afterAutospacing="0" w:line="300" w:lineRule="auto"/>
        <w:jc w:val="both"/>
        <w:rPr>
          <w:rFonts w:ascii="Century Schoolbook" w:hAnsi="Century Schoolbook"/>
          <w:sz w:val="22"/>
          <w:szCs w:val="22"/>
        </w:rPr>
      </w:pPr>
      <w:r w:rsidRPr="00A33BB8">
        <w:rPr>
          <w:rStyle w:val="Strong"/>
          <w:rFonts w:ascii="Century Schoolbook" w:hAnsi="Century Schoolbook"/>
          <w:sz w:val="22"/>
          <w:szCs w:val="22"/>
        </w:rPr>
        <w:t>Other Relevant Information</w:t>
      </w:r>
    </w:p>
    <w:p w:rsidR="00A33BB8" w:rsidRDefault="00A33BB8" w:rsidP="00A33BB8">
      <w:pPr>
        <w:spacing w:line="25" w:lineRule="atLeast"/>
        <w:jc w:val="both"/>
        <w:rPr>
          <w:rFonts w:ascii="Century Schoolbook" w:hAnsi="Century Schoolbook"/>
          <w:b/>
        </w:rPr>
      </w:pPr>
    </w:p>
    <w:p w:rsidR="00A33BB8" w:rsidRDefault="00A33BB8" w:rsidP="00A33BB8">
      <w:pPr>
        <w:spacing w:line="25" w:lineRule="atLeast"/>
        <w:jc w:val="both"/>
        <w:rPr>
          <w:rFonts w:ascii="Century Schoolbook" w:hAnsi="Century Schoolbook"/>
          <w:b/>
        </w:rPr>
      </w:pPr>
      <w:r w:rsidRPr="00A33BB8">
        <w:rPr>
          <w:rFonts w:ascii="Century Schoolbook" w:hAnsi="Century Schoolbook"/>
          <w:b/>
        </w:rPr>
        <w:t>Security Camera</w:t>
      </w:r>
    </w:p>
    <w:p w:rsidR="00A33BB8" w:rsidRDefault="00A33BB8" w:rsidP="00A33BB8">
      <w:pPr>
        <w:spacing w:line="300" w:lineRule="auto"/>
        <w:jc w:val="both"/>
        <w:rPr>
          <w:rFonts w:ascii="Century Schoolbook" w:hAnsi="Century Schoolbook"/>
        </w:rPr>
      </w:pPr>
      <w:r w:rsidRPr="00A33BB8">
        <w:rPr>
          <w:rFonts w:ascii="Century Schoolbook" w:hAnsi="Century Schoolbook"/>
        </w:rPr>
        <w:t xml:space="preserve">To ensure security, CCTV cameras have been set up at key locations all around the campus. These cameras help keep everyone on the campus safe. They are monitored continuously from a control room, and the principal also has a separate monitoring system in their office. Additionally, a special 360-degree rotating camera has been installed in </w:t>
      </w:r>
      <w:proofErr w:type="spellStart"/>
      <w:r w:rsidRPr="00A33BB8">
        <w:rPr>
          <w:rFonts w:ascii="Century Schoolbook" w:hAnsi="Century Schoolbook"/>
        </w:rPr>
        <w:t>Bidhan</w:t>
      </w:r>
      <w:proofErr w:type="spellEnd"/>
      <w:r w:rsidRPr="00A33BB8">
        <w:rPr>
          <w:rFonts w:ascii="Century Schoolbook" w:hAnsi="Century Schoolbook"/>
        </w:rPr>
        <w:t xml:space="preserve"> </w:t>
      </w:r>
      <w:proofErr w:type="spellStart"/>
      <w:r w:rsidRPr="00A33BB8">
        <w:rPr>
          <w:rFonts w:ascii="Century Schoolbook" w:hAnsi="Century Schoolbook"/>
        </w:rPr>
        <w:t>Udyan</w:t>
      </w:r>
      <w:proofErr w:type="spellEnd"/>
      <w:r w:rsidRPr="00A33BB8">
        <w:rPr>
          <w:rFonts w:ascii="Century Schoolbook" w:hAnsi="Century Schoolbook"/>
        </w:rPr>
        <w:t>, near the main gate, to cover the entire area. Relevant documents are attached for reference.</w:t>
      </w:r>
    </w:p>
    <w:p w:rsidR="00A33BB8" w:rsidRDefault="00A33BB8" w:rsidP="00A33BB8">
      <w:pPr>
        <w:spacing w:line="300" w:lineRule="auto"/>
        <w:jc w:val="both"/>
        <w:rPr>
          <w:rFonts w:ascii="Century Schoolbook" w:hAnsi="Century Schoolbook"/>
        </w:rPr>
      </w:pPr>
      <w:r w:rsidRPr="00A33BB8">
        <w:rPr>
          <w:rFonts w:ascii="Century Schoolbook" w:hAnsi="Century Schoolbook"/>
          <w:b/>
        </w:rPr>
        <w:t>Name of the Document:</w:t>
      </w:r>
      <w:r w:rsidRPr="00A33BB8">
        <w:rPr>
          <w:rFonts w:ascii="Century Schoolbook" w:hAnsi="Century Schoolbook"/>
        </w:rPr>
        <w:t xml:space="preserve"> CCTV Camera </w:t>
      </w:r>
    </w:p>
    <w:p w:rsidR="00A33BB8" w:rsidRDefault="00A33BB8" w:rsidP="00A33BB8">
      <w:pPr>
        <w:spacing w:line="300" w:lineRule="auto"/>
        <w:jc w:val="both"/>
        <w:rPr>
          <w:rFonts w:ascii="Century Schoolbook" w:hAnsi="Century Schoolbook"/>
          <w:b/>
        </w:rPr>
      </w:pPr>
      <w:r w:rsidRPr="00A33BB8">
        <w:rPr>
          <w:rFonts w:ascii="Century Schoolbook" w:hAnsi="Century Schoolbook"/>
          <w:b/>
        </w:rPr>
        <w:t xml:space="preserve">Committees for Grievance </w:t>
      </w:r>
      <w:proofErr w:type="spellStart"/>
      <w:r w:rsidRPr="00A33BB8">
        <w:rPr>
          <w:rFonts w:ascii="Century Schoolbook" w:hAnsi="Century Schoolbook"/>
          <w:b/>
        </w:rPr>
        <w:t>Redressal</w:t>
      </w:r>
      <w:proofErr w:type="spellEnd"/>
      <w:r w:rsidRPr="00A33BB8">
        <w:rPr>
          <w:rFonts w:ascii="Century Schoolbook" w:hAnsi="Century Schoolbook"/>
          <w:b/>
        </w:rPr>
        <w:t xml:space="preserve"> (GR)</w:t>
      </w:r>
    </w:p>
    <w:p w:rsidR="00A33BB8" w:rsidRPr="00A33BB8" w:rsidRDefault="00A33BB8" w:rsidP="00A33BB8">
      <w:pPr>
        <w:spacing w:line="300" w:lineRule="auto"/>
        <w:jc w:val="both"/>
        <w:rPr>
          <w:rFonts w:ascii="Century Schoolbook" w:hAnsi="Century Schoolbook"/>
          <w:b/>
        </w:rPr>
      </w:pPr>
      <w:r w:rsidRPr="00A33BB8">
        <w:rPr>
          <w:rFonts w:ascii="Century Schoolbook" w:hAnsi="Century Schoolbook"/>
        </w:rPr>
        <w:t>Committees have been formed to handle issues like sexual harassment of women at the workplace, women’s grievances, and complaints</w:t>
      </w:r>
      <w:r>
        <w:rPr>
          <w:rFonts w:ascii="Century Schoolbook" w:hAnsi="Century Schoolbook"/>
        </w:rPr>
        <w:t xml:space="preserve">. These committees hold regular </w:t>
      </w:r>
      <w:r w:rsidRPr="00A33BB8">
        <w:rPr>
          <w:rFonts w:ascii="Century Schoolbook" w:hAnsi="Century Schoolbook"/>
        </w:rPr>
        <w:t>meetings to ensure that safety and security in these matters are properly maintained.</w:t>
      </w:r>
      <w:r>
        <w:rPr>
          <w:rFonts w:ascii="Century Schoolbook" w:hAnsi="Century Schoolbook"/>
        </w:rPr>
        <w:t xml:space="preserve"> </w:t>
      </w:r>
      <w:r w:rsidRPr="00A33BB8">
        <w:rPr>
          <w:rFonts w:ascii="Century Schoolbook" w:hAnsi="Century Schoolbook"/>
        </w:rPr>
        <w:t>The details about these committees, their notices, and meeting minutes are given below.</w:t>
      </w:r>
    </w:p>
    <w:sectPr w:rsidR="00A33BB8" w:rsidRPr="00A33BB8" w:rsidSect="001714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A5807"/>
    <w:multiLevelType w:val="multilevel"/>
    <w:tmpl w:val="B534F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3BB8"/>
    <w:rsid w:val="000B1A7F"/>
    <w:rsid w:val="0017148A"/>
    <w:rsid w:val="002372FB"/>
    <w:rsid w:val="00964CFD"/>
    <w:rsid w:val="00A33BB8"/>
    <w:rsid w:val="00AD56CA"/>
    <w:rsid w:val="00F92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B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33BB8"/>
    <w:rPr>
      <w:b/>
      <w:bCs/>
    </w:rPr>
  </w:style>
</w:styles>
</file>

<file path=word/webSettings.xml><?xml version="1.0" encoding="utf-8"?>
<w:webSettings xmlns:r="http://schemas.openxmlformats.org/officeDocument/2006/relationships" xmlns:w="http://schemas.openxmlformats.org/wordprocessingml/2006/main">
  <w:divs>
    <w:div w:id="374744593">
      <w:bodyDiv w:val="1"/>
      <w:marLeft w:val="0"/>
      <w:marRight w:val="0"/>
      <w:marTop w:val="0"/>
      <w:marBottom w:val="0"/>
      <w:divBdr>
        <w:top w:val="none" w:sz="0" w:space="0" w:color="auto"/>
        <w:left w:val="none" w:sz="0" w:space="0" w:color="auto"/>
        <w:bottom w:val="none" w:sz="0" w:space="0" w:color="auto"/>
        <w:right w:val="none" w:sz="0" w:space="0" w:color="auto"/>
      </w:divBdr>
    </w:div>
    <w:div w:id="417943335">
      <w:bodyDiv w:val="1"/>
      <w:marLeft w:val="0"/>
      <w:marRight w:val="0"/>
      <w:marTop w:val="0"/>
      <w:marBottom w:val="0"/>
      <w:divBdr>
        <w:top w:val="none" w:sz="0" w:space="0" w:color="auto"/>
        <w:left w:val="none" w:sz="0" w:space="0" w:color="auto"/>
        <w:bottom w:val="none" w:sz="0" w:space="0" w:color="auto"/>
        <w:right w:val="none" w:sz="0" w:space="0" w:color="auto"/>
      </w:divBdr>
    </w:div>
    <w:div w:id="14862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MCA HOD</cp:lastModifiedBy>
  <cp:revision>3</cp:revision>
  <dcterms:created xsi:type="dcterms:W3CDTF">2024-12-13T07:40:00Z</dcterms:created>
  <dcterms:modified xsi:type="dcterms:W3CDTF">2024-12-17T07:13:00Z</dcterms:modified>
</cp:coreProperties>
</file>