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4FA" w:rsidRDefault="004D6B7B">
      <w:pPr>
        <w:pStyle w:val="Title"/>
        <w:numPr>
          <w:ilvl w:val="2"/>
          <w:numId w:val="1"/>
        </w:numPr>
        <w:tabs>
          <w:tab w:val="left" w:pos="731"/>
        </w:tabs>
        <w:ind w:firstLine="0"/>
        <w:jc w:val="both"/>
      </w:pPr>
      <w:bookmarkStart w:id="0" w:name="QlM_7_1_8_Updated_FINAL"/>
      <w:bookmarkEnd w:id="0"/>
      <w:r>
        <w:rPr>
          <w:color w:val="00B050"/>
          <w:shd w:val="clear" w:color="auto" w:fill="FFFF00"/>
        </w:rPr>
        <w:t>Describe</w:t>
      </w:r>
      <w:r>
        <w:rPr>
          <w:color w:val="00B050"/>
          <w:spacing w:val="1"/>
          <w:shd w:val="clear" w:color="auto" w:fill="FFFF00"/>
        </w:rPr>
        <w:t xml:space="preserve"> </w:t>
      </w:r>
      <w:r>
        <w:rPr>
          <w:color w:val="00B050"/>
          <w:shd w:val="clear" w:color="auto" w:fill="FFFF00"/>
        </w:rPr>
        <w:t>the</w:t>
      </w:r>
      <w:r>
        <w:rPr>
          <w:color w:val="00B050"/>
          <w:spacing w:val="1"/>
          <w:shd w:val="clear" w:color="auto" w:fill="FFFF00"/>
        </w:rPr>
        <w:t xml:space="preserve"> </w:t>
      </w:r>
      <w:r>
        <w:rPr>
          <w:color w:val="00B050"/>
          <w:shd w:val="clear" w:color="auto" w:fill="FFFF00"/>
        </w:rPr>
        <w:t>Institutional</w:t>
      </w:r>
      <w:r>
        <w:rPr>
          <w:color w:val="00B050"/>
          <w:spacing w:val="1"/>
          <w:shd w:val="clear" w:color="auto" w:fill="FFFF00"/>
        </w:rPr>
        <w:t xml:space="preserve"> </w:t>
      </w:r>
      <w:r>
        <w:rPr>
          <w:color w:val="00B050"/>
          <w:shd w:val="clear" w:color="auto" w:fill="FFFF00"/>
        </w:rPr>
        <w:t>efforts/initiatives</w:t>
      </w:r>
      <w:r>
        <w:rPr>
          <w:color w:val="00B050"/>
          <w:spacing w:val="1"/>
          <w:shd w:val="clear" w:color="auto" w:fill="FFFF00"/>
        </w:rPr>
        <w:t xml:space="preserve"> </w:t>
      </w:r>
      <w:r>
        <w:rPr>
          <w:color w:val="00B050"/>
          <w:shd w:val="clear" w:color="auto" w:fill="FFFF00"/>
        </w:rPr>
        <w:t>in</w:t>
      </w:r>
      <w:r>
        <w:rPr>
          <w:color w:val="00B050"/>
          <w:spacing w:val="1"/>
          <w:shd w:val="clear" w:color="auto" w:fill="FFFF00"/>
        </w:rPr>
        <w:t xml:space="preserve"> </w:t>
      </w:r>
      <w:r>
        <w:rPr>
          <w:color w:val="00B050"/>
          <w:shd w:val="clear" w:color="auto" w:fill="FFFF00"/>
        </w:rPr>
        <w:t>providing</w:t>
      </w:r>
      <w:r>
        <w:rPr>
          <w:color w:val="00B050"/>
          <w:spacing w:val="1"/>
          <w:shd w:val="clear" w:color="auto" w:fill="FFFF00"/>
        </w:rPr>
        <w:t xml:space="preserve"> </w:t>
      </w:r>
      <w:r>
        <w:rPr>
          <w:color w:val="00B050"/>
          <w:shd w:val="clear" w:color="auto" w:fill="FFFF00"/>
        </w:rPr>
        <w:t>an</w:t>
      </w:r>
      <w:r>
        <w:rPr>
          <w:color w:val="00B050"/>
          <w:spacing w:val="1"/>
          <w:shd w:val="clear" w:color="auto" w:fill="FFFF00"/>
        </w:rPr>
        <w:t xml:space="preserve"> </w:t>
      </w:r>
      <w:r>
        <w:rPr>
          <w:color w:val="00B050"/>
          <w:shd w:val="clear" w:color="auto" w:fill="FFFF00"/>
        </w:rPr>
        <w:t>inclusive</w:t>
      </w:r>
      <w:r>
        <w:rPr>
          <w:color w:val="00B050"/>
          <w:spacing w:val="1"/>
          <w:shd w:val="clear" w:color="auto" w:fill="FFFF00"/>
        </w:rPr>
        <w:t xml:space="preserve"> </w:t>
      </w:r>
      <w:r>
        <w:rPr>
          <w:color w:val="00B050"/>
          <w:shd w:val="clear" w:color="auto" w:fill="FFFF00"/>
        </w:rPr>
        <w:t>environment</w:t>
      </w:r>
      <w:r>
        <w:rPr>
          <w:color w:val="00B050"/>
          <w:spacing w:val="1"/>
          <w:shd w:val="clear" w:color="auto" w:fill="FFFF00"/>
        </w:rPr>
        <w:t xml:space="preserve"> </w:t>
      </w:r>
      <w:r>
        <w:rPr>
          <w:color w:val="00B050"/>
          <w:shd w:val="clear" w:color="auto" w:fill="FFFF00"/>
        </w:rPr>
        <w:t>i.e.,</w:t>
      </w:r>
      <w:r>
        <w:rPr>
          <w:color w:val="00B050"/>
          <w:spacing w:val="1"/>
        </w:rPr>
        <w:t xml:space="preserve"> </w:t>
      </w:r>
      <w:r>
        <w:rPr>
          <w:color w:val="00B050"/>
          <w:shd w:val="clear" w:color="auto" w:fill="FFFF00"/>
        </w:rPr>
        <w:t>tolerance and harmony towards cultural, regional, linguistic, communal socioeconomic and other</w:t>
      </w:r>
      <w:r>
        <w:rPr>
          <w:color w:val="00B050"/>
          <w:spacing w:val="1"/>
        </w:rPr>
        <w:t xml:space="preserve"> </w:t>
      </w:r>
      <w:r>
        <w:rPr>
          <w:color w:val="00B050"/>
          <w:shd w:val="clear" w:color="auto" w:fill="FFFF00"/>
        </w:rPr>
        <w:t>diversities</w:t>
      </w:r>
      <w:r>
        <w:rPr>
          <w:color w:val="00B050"/>
          <w:spacing w:val="-1"/>
          <w:shd w:val="clear" w:color="auto" w:fill="FFFF00"/>
        </w:rPr>
        <w:t xml:space="preserve"> </w:t>
      </w:r>
      <w:r>
        <w:rPr>
          <w:color w:val="00B050"/>
          <w:shd w:val="clear" w:color="auto" w:fill="FFFF00"/>
        </w:rPr>
        <w:t>(within 200</w:t>
      </w:r>
      <w:r>
        <w:rPr>
          <w:color w:val="00B050"/>
          <w:spacing w:val="-3"/>
          <w:shd w:val="clear" w:color="auto" w:fill="FFFF00"/>
        </w:rPr>
        <w:t xml:space="preserve"> </w:t>
      </w:r>
      <w:r>
        <w:rPr>
          <w:color w:val="00B050"/>
          <w:shd w:val="clear" w:color="auto" w:fill="FFFF00"/>
        </w:rPr>
        <w:t>words).</w:t>
      </w:r>
    </w:p>
    <w:p w:rsidR="006864FA" w:rsidRDefault="006864FA">
      <w:pPr>
        <w:pStyle w:val="BodyText"/>
        <w:ind w:firstLine="0"/>
        <w:rPr>
          <w:b/>
        </w:rPr>
      </w:pPr>
    </w:p>
    <w:p w:rsidR="004D6B7B" w:rsidRPr="004D6B7B" w:rsidRDefault="004D6B7B" w:rsidP="004D6B7B">
      <w:pPr>
        <w:pStyle w:val="BodyText"/>
        <w:rPr>
          <w:b/>
        </w:rPr>
      </w:pPr>
      <w:r w:rsidRPr="004D6B7B">
        <w:rPr>
          <w:b/>
        </w:rPr>
        <w:t>• Institute is well-known not only for its pursuit of academic excellence, but also for its HR policies of empathy, societal consciousness, and harmonious relationship with the culture and sensibilities of its surrounding environment.</w:t>
      </w:r>
    </w:p>
    <w:p w:rsidR="004D6B7B" w:rsidRPr="004D6B7B" w:rsidRDefault="004D6B7B" w:rsidP="004D6B7B">
      <w:pPr>
        <w:pStyle w:val="BodyText"/>
        <w:rPr>
          <w:b/>
        </w:rPr>
      </w:pPr>
    </w:p>
    <w:p w:rsidR="004D6B7B" w:rsidRPr="004D6B7B" w:rsidRDefault="004D6B7B" w:rsidP="004D6B7B">
      <w:pPr>
        <w:pStyle w:val="BodyText"/>
        <w:rPr>
          <w:b/>
        </w:rPr>
      </w:pPr>
      <w:r w:rsidRPr="004D6B7B">
        <w:rPr>
          <w:b/>
        </w:rPr>
        <w:t>• The Institute's faculty/staff and students are a diverse cross-section of India, and they celebrate each other's festivals, music, and art. The Orientation Programs for students include artistic contributions from each of the students' home states. The band and cultural events of the students reflect the diversity of musical and cultural performances.</w:t>
      </w:r>
    </w:p>
    <w:p w:rsidR="004D6B7B" w:rsidRPr="004D6B7B" w:rsidRDefault="004D6B7B" w:rsidP="004D6B7B">
      <w:pPr>
        <w:pStyle w:val="BodyText"/>
        <w:rPr>
          <w:b/>
        </w:rPr>
      </w:pPr>
    </w:p>
    <w:p w:rsidR="004D6B7B" w:rsidRPr="004D6B7B" w:rsidRDefault="004D6B7B" w:rsidP="004D6B7B">
      <w:pPr>
        <w:pStyle w:val="BodyText"/>
        <w:rPr>
          <w:b/>
        </w:rPr>
      </w:pPr>
      <w:r w:rsidRPr="004D6B7B">
        <w:rPr>
          <w:b/>
        </w:rPr>
        <w:t>• Linguistic differences are assimilated by mandating the use of a common professional language, such as English, during business hours.</w:t>
      </w:r>
    </w:p>
    <w:p w:rsidR="004D6B7B" w:rsidRPr="004D6B7B" w:rsidRDefault="004D6B7B" w:rsidP="004D6B7B">
      <w:pPr>
        <w:pStyle w:val="BodyText"/>
        <w:rPr>
          <w:b/>
        </w:rPr>
      </w:pPr>
    </w:p>
    <w:p w:rsidR="004D6B7B" w:rsidRPr="004D6B7B" w:rsidRDefault="004D6B7B" w:rsidP="004D6B7B">
      <w:pPr>
        <w:pStyle w:val="BodyText"/>
        <w:rPr>
          <w:b/>
        </w:rPr>
      </w:pPr>
      <w:r w:rsidRPr="004D6B7B">
        <w:rPr>
          <w:b/>
        </w:rPr>
        <w:t>• Communal divides are rare. The Institute has a strong and enduring dedication to its social responsibilities. The NSS Cell has engaged in numerous socially responsible initiatives in the realm of charity work for the underprivileged in society.</w:t>
      </w:r>
    </w:p>
    <w:p w:rsidR="004D6B7B" w:rsidRPr="004D6B7B" w:rsidRDefault="004D6B7B" w:rsidP="004D6B7B">
      <w:pPr>
        <w:pStyle w:val="BodyText"/>
        <w:rPr>
          <w:b/>
        </w:rPr>
      </w:pPr>
    </w:p>
    <w:p w:rsidR="004D6B7B" w:rsidRPr="004D6B7B" w:rsidRDefault="004D6B7B" w:rsidP="004D6B7B">
      <w:pPr>
        <w:pStyle w:val="BodyText"/>
        <w:rPr>
          <w:b/>
        </w:rPr>
      </w:pPr>
      <w:r w:rsidRPr="004D6B7B">
        <w:rPr>
          <w:b/>
        </w:rPr>
        <w:t>• Ramps, lift facilities, and even specially designated assisting staff members are provided for disabled students, employees, and teachers.</w:t>
      </w:r>
    </w:p>
    <w:p w:rsidR="004D6B7B" w:rsidRPr="004D6B7B" w:rsidRDefault="004D6B7B" w:rsidP="004D6B7B">
      <w:pPr>
        <w:pStyle w:val="BodyText"/>
        <w:rPr>
          <w:b/>
        </w:rPr>
      </w:pPr>
    </w:p>
    <w:p w:rsidR="004D6B7B" w:rsidRDefault="004D6B7B" w:rsidP="004D6B7B">
      <w:pPr>
        <w:pStyle w:val="BodyText"/>
        <w:ind w:firstLine="0"/>
        <w:rPr>
          <w:b/>
        </w:rPr>
      </w:pPr>
      <w:r w:rsidRPr="004D6B7B">
        <w:rPr>
          <w:b/>
        </w:rPr>
        <w:t>In the Soft Skills Sessions, LGBTQ Awareness, Rights, and Empowerment are discussed in Group Discussions. This is done to eliminate students' initial misgivings and apprehensions about dormitory life, as well as to promote campus-wide sensitization and inclusiveness.</w:t>
      </w:r>
      <w:bookmarkStart w:id="1" w:name="_GoBack"/>
      <w:bookmarkEnd w:id="1"/>
    </w:p>
    <w:sectPr w:rsidR="004D6B7B">
      <w:type w:val="continuous"/>
      <w:pgSz w:w="11910" w:h="16840"/>
      <w:pgMar w:top="1340" w:right="74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7B3389"/>
    <w:multiLevelType w:val="multilevel"/>
    <w:tmpl w:val="2F147AD4"/>
    <w:lvl w:ilvl="0">
      <w:start w:val="7"/>
      <w:numFmt w:val="decimal"/>
      <w:lvlText w:val="%1"/>
      <w:lvlJc w:val="left"/>
      <w:pPr>
        <w:ind w:left="113" w:hanging="617"/>
        <w:jc w:val="left"/>
      </w:pPr>
      <w:rPr>
        <w:rFonts w:hint="default"/>
        <w:lang w:val="en-US" w:eastAsia="en-US" w:bidi="ar-SA"/>
      </w:rPr>
    </w:lvl>
    <w:lvl w:ilvl="1">
      <w:start w:val="1"/>
      <w:numFmt w:val="decimal"/>
      <w:lvlText w:val="%1.%2"/>
      <w:lvlJc w:val="left"/>
      <w:pPr>
        <w:ind w:left="113" w:hanging="617"/>
        <w:jc w:val="left"/>
      </w:pPr>
      <w:rPr>
        <w:rFonts w:hint="default"/>
        <w:lang w:val="en-US" w:eastAsia="en-US" w:bidi="ar-SA"/>
      </w:rPr>
    </w:lvl>
    <w:lvl w:ilvl="2">
      <w:start w:val="8"/>
      <w:numFmt w:val="decimal"/>
      <w:lvlText w:val="%1.%2.%3"/>
      <w:lvlJc w:val="left"/>
      <w:pPr>
        <w:ind w:left="113" w:hanging="617"/>
        <w:jc w:val="left"/>
      </w:pPr>
      <w:rPr>
        <w:rFonts w:ascii="Times New Roman" w:eastAsia="Times New Roman" w:hAnsi="Times New Roman" w:cs="Times New Roman" w:hint="default"/>
        <w:b/>
        <w:bCs/>
        <w:color w:val="00B050"/>
        <w:w w:val="100"/>
        <w:sz w:val="24"/>
        <w:szCs w:val="24"/>
        <w:shd w:val="clear" w:color="auto" w:fill="FFFF00"/>
        <w:lang w:val="en-US" w:eastAsia="en-US" w:bidi="ar-SA"/>
      </w:rPr>
    </w:lvl>
    <w:lvl w:ilvl="3">
      <w:numFmt w:val="bullet"/>
      <w:lvlText w:val=""/>
      <w:lvlJc w:val="left"/>
      <w:pPr>
        <w:ind w:left="833" w:hanging="360"/>
      </w:pPr>
      <w:rPr>
        <w:rFonts w:hint="default"/>
        <w:w w:val="100"/>
        <w:lang w:val="en-US" w:eastAsia="en-US" w:bidi="ar-SA"/>
      </w:rPr>
    </w:lvl>
    <w:lvl w:ilvl="4">
      <w:numFmt w:val="bullet"/>
      <w:lvlText w:val="•"/>
      <w:lvlJc w:val="left"/>
      <w:pPr>
        <w:ind w:left="3988" w:hanging="360"/>
      </w:pPr>
      <w:rPr>
        <w:rFonts w:hint="default"/>
        <w:lang w:val="en-US" w:eastAsia="en-US" w:bidi="ar-SA"/>
      </w:rPr>
    </w:lvl>
    <w:lvl w:ilvl="5">
      <w:numFmt w:val="bullet"/>
      <w:lvlText w:val="•"/>
      <w:lvlJc w:val="left"/>
      <w:pPr>
        <w:ind w:left="5038" w:hanging="360"/>
      </w:pPr>
      <w:rPr>
        <w:rFonts w:hint="default"/>
        <w:lang w:val="en-US" w:eastAsia="en-US" w:bidi="ar-SA"/>
      </w:rPr>
    </w:lvl>
    <w:lvl w:ilvl="6">
      <w:numFmt w:val="bullet"/>
      <w:lvlText w:val="•"/>
      <w:lvlJc w:val="left"/>
      <w:pPr>
        <w:ind w:left="6088" w:hanging="360"/>
      </w:pPr>
      <w:rPr>
        <w:rFonts w:hint="default"/>
        <w:lang w:val="en-US" w:eastAsia="en-US" w:bidi="ar-SA"/>
      </w:rPr>
    </w:lvl>
    <w:lvl w:ilvl="7">
      <w:numFmt w:val="bullet"/>
      <w:lvlText w:val="•"/>
      <w:lvlJc w:val="left"/>
      <w:pPr>
        <w:ind w:left="7137" w:hanging="360"/>
      </w:pPr>
      <w:rPr>
        <w:rFonts w:hint="default"/>
        <w:lang w:val="en-US" w:eastAsia="en-US" w:bidi="ar-SA"/>
      </w:rPr>
    </w:lvl>
    <w:lvl w:ilvl="8">
      <w:numFmt w:val="bullet"/>
      <w:lvlText w:val="•"/>
      <w:lvlJc w:val="left"/>
      <w:pPr>
        <w:ind w:left="8187"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6864FA"/>
    <w:rsid w:val="004D6B7B"/>
    <w:rsid w:val="00686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D0E389-AAE7-42F0-9BD0-1ACE99183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0"/>
    </w:pPr>
    <w:rPr>
      <w:sz w:val="24"/>
      <w:szCs w:val="24"/>
    </w:rPr>
  </w:style>
  <w:style w:type="paragraph" w:styleId="Title">
    <w:name w:val="Title"/>
    <w:basedOn w:val="Normal"/>
    <w:uiPriority w:val="1"/>
    <w:qFormat/>
    <w:pPr>
      <w:spacing w:before="78"/>
      <w:ind w:left="113" w:right="106"/>
      <w:jc w:val="both"/>
    </w:pPr>
    <w:rPr>
      <w:b/>
      <w:bCs/>
      <w:sz w:val="24"/>
      <w:szCs w:val="24"/>
    </w:rPr>
  </w:style>
  <w:style w:type="paragraph" w:styleId="ListParagraph">
    <w:name w:val="List Paragraph"/>
    <w:basedOn w:val="Normal"/>
    <w:uiPriority w:val="1"/>
    <w:qFormat/>
    <w:pPr>
      <w:ind w:left="833" w:right="105"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1368</Characters>
  <Application>Microsoft Office Word</Application>
  <DocSecurity>0</DocSecurity>
  <Lines>11</Lines>
  <Paragraphs>3</Paragraphs>
  <ScaleCrop>false</ScaleCrop>
  <Company/>
  <LinksUpToDate>false</LinksUpToDate>
  <CharactersWithSpaces>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ANUP</cp:lastModifiedBy>
  <cp:revision>2</cp:revision>
  <dcterms:created xsi:type="dcterms:W3CDTF">2021-12-15T07:51:00Z</dcterms:created>
  <dcterms:modified xsi:type="dcterms:W3CDTF">2022-12-09T13:51:00Z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2021-12-15T00:00:00Z</vt:filetime>
  </property>
</Properties>
</file>