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31" w:rsidRPr="006F19A3" w:rsidRDefault="006F19A3">
      <w:pPr>
        <w:pStyle w:val="Title"/>
        <w:numPr>
          <w:ilvl w:val="2"/>
          <w:numId w:val="1"/>
        </w:numPr>
        <w:tabs>
          <w:tab w:val="left" w:pos="657"/>
        </w:tabs>
        <w:spacing w:line="276" w:lineRule="auto"/>
        <w:ind w:firstLine="0"/>
      </w:pPr>
      <w:bookmarkStart w:id="0" w:name="QlM_7_1_3__Updated_FINAL"/>
      <w:bookmarkEnd w:id="0"/>
      <w:r>
        <w:rPr>
          <w:color w:val="00B050"/>
        </w:rPr>
        <w:t>Describe</w:t>
      </w:r>
      <w:r>
        <w:rPr>
          <w:color w:val="00B050"/>
          <w:spacing w:val="12"/>
        </w:rPr>
        <w:t xml:space="preserve"> </w:t>
      </w:r>
      <w:r>
        <w:rPr>
          <w:color w:val="00B050"/>
        </w:rPr>
        <w:t>the</w:t>
      </w:r>
      <w:r>
        <w:rPr>
          <w:color w:val="00B050"/>
          <w:spacing w:val="13"/>
        </w:rPr>
        <w:t xml:space="preserve"> </w:t>
      </w:r>
      <w:r>
        <w:rPr>
          <w:color w:val="00B050"/>
        </w:rPr>
        <w:t>facilities</w:t>
      </w:r>
      <w:r>
        <w:rPr>
          <w:color w:val="00B050"/>
          <w:spacing w:val="14"/>
        </w:rPr>
        <w:t xml:space="preserve"> </w:t>
      </w:r>
      <w:r>
        <w:rPr>
          <w:color w:val="00B050"/>
        </w:rPr>
        <w:t>in</w:t>
      </w:r>
      <w:r>
        <w:rPr>
          <w:color w:val="00B050"/>
          <w:spacing w:val="15"/>
        </w:rPr>
        <w:t xml:space="preserve"> </w:t>
      </w:r>
      <w:r>
        <w:rPr>
          <w:color w:val="00B050"/>
        </w:rPr>
        <w:t>the</w:t>
      </w:r>
      <w:r>
        <w:rPr>
          <w:color w:val="00B050"/>
          <w:spacing w:val="13"/>
        </w:rPr>
        <w:t xml:space="preserve"> </w:t>
      </w:r>
      <w:r>
        <w:rPr>
          <w:color w:val="00B050"/>
        </w:rPr>
        <w:t>Institution</w:t>
      </w:r>
      <w:r>
        <w:rPr>
          <w:color w:val="00B050"/>
          <w:spacing w:val="12"/>
        </w:rPr>
        <w:t xml:space="preserve"> </w:t>
      </w:r>
      <w:r>
        <w:rPr>
          <w:color w:val="00B050"/>
        </w:rPr>
        <w:t>for</w:t>
      </w:r>
      <w:r>
        <w:rPr>
          <w:color w:val="00B050"/>
          <w:spacing w:val="13"/>
        </w:rPr>
        <w:t xml:space="preserve"> </w:t>
      </w:r>
      <w:r>
        <w:rPr>
          <w:color w:val="00B050"/>
        </w:rPr>
        <w:t>the</w:t>
      </w:r>
      <w:r>
        <w:rPr>
          <w:color w:val="00B050"/>
          <w:spacing w:val="16"/>
        </w:rPr>
        <w:t xml:space="preserve"> </w:t>
      </w:r>
      <w:r>
        <w:rPr>
          <w:color w:val="00B050"/>
        </w:rPr>
        <w:t>management</w:t>
      </w:r>
      <w:r>
        <w:rPr>
          <w:color w:val="00B050"/>
          <w:spacing w:val="13"/>
        </w:rPr>
        <w:t xml:space="preserve"> </w:t>
      </w:r>
      <w:r>
        <w:rPr>
          <w:color w:val="00B050"/>
        </w:rPr>
        <w:t>of</w:t>
      </w:r>
      <w:r>
        <w:rPr>
          <w:color w:val="00B050"/>
          <w:spacing w:val="16"/>
        </w:rPr>
        <w:t xml:space="preserve"> </w:t>
      </w:r>
      <w:r>
        <w:rPr>
          <w:color w:val="00B050"/>
        </w:rPr>
        <w:t>the</w:t>
      </w:r>
      <w:r>
        <w:rPr>
          <w:color w:val="00B050"/>
          <w:spacing w:val="13"/>
        </w:rPr>
        <w:t xml:space="preserve"> </w:t>
      </w:r>
      <w:r>
        <w:rPr>
          <w:color w:val="00B050"/>
        </w:rPr>
        <w:t>following</w:t>
      </w:r>
      <w:r>
        <w:rPr>
          <w:color w:val="00B050"/>
          <w:spacing w:val="13"/>
        </w:rPr>
        <w:t xml:space="preserve"> </w:t>
      </w:r>
      <w:r>
        <w:rPr>
          <w:color w:val="00B050"/>
        </w:rPr>
        <w:t>types</w:t>
      </w:r>
      <w:r>
        <w:rPr>
          <w:color w:val="00B050"/>
          <w:spacing w:val="15"/>
        </w:rPr>
        <w:t xml:space="preserve"> </w:t>
      </w:r>
      <w:r>
        <w:rPr>
          <w:color w:val="00B050"/>
        </w:rPr>
        <w:t>of</w:t>
      </w:r>
      <w:r>
        <w:rPr>
          <w:color w:val="00B050"/>
          <w:spacing w:val="-57"/>
        </w:rPr>
        <w:t xml:space="preserve"> </w:t>
      </w:r>
      <w:r>
        <w:rPr>
          <w:color w:val="00B050"/>
        </w:rPr>
        <w:t>degradable</w:t>
      </w:r>
      <w:r>
        <w:rPr>
          <w:color w:val="00B050"/>
          <w:spacing w:val="-2"/>
        </w:rPr>
        <w:t xml:space="preserve"> </w:t>
      </w:r>
      <w:r>
        <w:rPr>
          <w:color w:val="00B050"/>
        </w:rPr>
        <w:t>and non-degradable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waste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(within</w:t>
      </w:r>
      <w:r>
        <w:rPr>
          <w:color w:val="00B050"/>
          <w:spacing w:val="-2"/>
        </w:rPr>
        <w:t xml:space="preserve"> </w:t>
      </w:r>
      <w:r>
        <w:rPr>
          <w:color w:val="00B050"/>
        </w:rPr>
        <w:t>200 words)</w:t>
      </w:r>
    </w:p>
    <w:p w:rsidR="006F19A3" w:rsidRDefault="006F19A3" w:rsidP="006F19A3">
      <w:pPr>
        <w:pStyle w:val="Title"/>
        <w:tabs>
          <w:tab w:val="left" w:pos="657"/>
        </w:tabs>
        <w:spacing w:line="276" w:lineRule="auto"/>
        <w:rPr>
          <w:color w:val="00B050"/>
        </w:rPr>
      </w:pP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  <w:r>
        <w:t>• The Institute's environment is environmentally friendly. The institute has made concerted efforts to enhance and cultivate an eco-friendly environment, and it strives continually for a sustainable campus environment.</w:t>
      </w: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  <w:r>
        <w:t>• A dedicated team of gardeners and sweepers cares for the campus's lawns, gardens, plantation, maintenance, etc. on a regular basis in order to preserve its green environment.</w:t>
      </w: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  <w:r>
        <w:t xml:space="preserve">• The Institute has taken all measures in accordance with the </w:t>
      </w:r>
      <w:proofErr w:type="spellStart"/>
      <w:r>
        <w:t>Swachha</w:t>
      </w:r>
      <w:proofErr w:type="spellEnd"/>
      <w:r>
        <w:t xml:space="preserve"> Bharat </w:t>
      </w:r>
      <w:proofErr w:type="spellStart"/>
      <w:r>
        <w:t>Abhiyan</w:t>
      </w:r>
      <w:proofErr w:type="spellEnd"/>
      <w:r>
        <w:t xml:space="preserve"> to educate its students and employees through various activities such as seminars, webinars, NSS cells, etc.</w:t>
      </w: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  <w:r>
        <w:t>• The Institute has an effective waste disposal system. The Durgapur Municipality collects non-biodegradable waste while the organic solid waste is separated and used to prepare compost for in-house consumption. At the canteen and hostel, solid waste is separated at the source using green and blue garbage cans.</w:t>
      </w: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  <w:r>
        <w:t>• Collected liquid waste is discharged into the municipal sewage system.</w:t>
      </w: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</w:p>
    <w:p w:rsidR="006F19A3" w:rsidRDefault="006F19A3" w:rsidP="006F19A3">
      <w:pPr>
        <w:pStyle w:val="Title"/>
        <w:tabs>
          <w:tab w:val="left" w:pos="657"/>
        </w:tabs>
        <w:spacing w:line="276" w:lineRule="auto"/>
      </w:pPr>
      <w:r>
        <w:t xml:space="preserve">• E-waste is assembled in innovation labs, where students </w:t>
      </w:r>
      <w:proofErr w:type="spellStart"/>
      <w:r>
        <w:t>cannibalise</w:t>
      </w:r>
      <w:proofErr w:type="spellEnd"/>
      <w:r>
        <w:t xml:space="preserve"> the necessary components, and then sold to an E-waste collection company.</w:t>
      </w:r>
      <w:bookmarkStart w:id="1" w:name="_GoBack"/>
      <w:bookmarkEnd w:id="1"/>
    </w:p>
    <w:sectPr w:rsidR="006F19A3">
      <w:type w:val="continuous"/>
      <w:pgSz w:w="12240" w:h="15840"/>
      <w:pgMar w:top="7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A474E"/>
    <w:multiLevelType w:val="multilevel"/>
    <w:tmpl w:val="18D651C2"/>
    <w:lvl w:ilvl="0">
      <w:start w:val="7"/>
      <w:numFmt w:val="decimal"/>
      <w:lvlText w:val="%1"/>
      <w:lvlJc w:val="left"/>
      <w:pPr>
        <w:ind w:left="100" w:hanging="55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55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" w:hanging="557"/>
        <w:jc w:val="left"/>
      </w:pPr>
      <w:rPr>
        <w:rFonts w:ascii="Times New Roman" w:eastAsia="Times New Roman" w:hAnsi="Times New Roman" w:cs="Times New Roman" w:hint="default"/>
        <w:b/>
        <w:bCs/>
        <w:color w:val="00B050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0731"/>
    <w:rsid w:val="006F19A3"/>
    <w:rsid w:val="00E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A136C-964C-4FFF-93DA-42EB3694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100" w:right="11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ANUP</cp:lastModifiedBy>
  <cp:revision>2</cp:revision>
  <dcterms:created xsi:type="dcterms:W3CDTF">2021-12-15T07:50:00Z</dcterms:created>
  <dcterms:modified xsi:type="dcterms:W3CDTF">2022-12-09T13:31:00Z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