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2"/>
          <w:numId w:val="1"/>
        </w:numPr>
        <w:tabs>
          <w:tab w:pos="731" w:val="left" w:leader="none"/>
        </w:tabs>
        <w:spacing w:line="240" w:lineRule="auto" w:before="78" w:after="0"/>
        <w:ind w:left="113" w:right="106" w:firstLine="0"/>
        <w:jc w:val="both"/>
      </w:pPr>
      <w:bookmarkStart w:name="QlM 7_1_8_Updated_FINAL" w:id="1"/>
      <w:bookmarkEnd w:id="1"/>
      <w:r>
        <w:rPr>
          <w:b w:val="0"/>
        </w:rPr>
      </w:r>
      <w:bookmarkStart w:name="QlM 7_1_8_Updated_FINAL" w:id="2"/>
      <w:bookmarkEnd w:id="2"/>
      <w:r>
        <w:rPr>
          <w:color w:val="00B050"/>
          <w:shd w:fill="FFFF00" w:color="auto" w:val="clear"/>
        </w:rPr>
        <w:t>D</w:t>
      </w:r>
      <w:r>
        <w:rPr>
          <w:color w:val="00B050"/>
          <w:shd w:fill="FFFF00" w:color="auto" w:val="clear"/>
        </w:rPr>
        <w:t>escribe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the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Institutional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efforts/initiatives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in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providing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an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inclusive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environment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i.e.,</w:t>
      </w:r>
      <w:r>
        <w:rPr>
          <w:color w:val="00B050"/>
          <w:spacing w:val="1"/>
        </w:rPr>
        <w:t> </w:t>
      </w:r>
      <w:r>
        <w:rPr>
          <w:color w:val="00B050"/>
          <w:shd w:fill="FFFF00" w:color="auto" w:val="clear"/>
        </w:rPr>
        <w:t>tolerance and harmony towards cultural, regional, linguistic, communal socioeconomic and other</w:t>
      </w:r>
      <w:r>
        <w:rPr>
          <w:color w:val="00B050"/>
          <w:spacing w:val="1"/>
        </w:rPr>
        <w:t> </w:t>
      </w:r>
      <w:r>
        <w:rPr>
          <w:color w:val="00B050"/>
          <w:shd w:fill="FFFF00" w:color="auto" w:val="clear"/>
        </w:rPr>
        <w:t>diversities</w:t>
      </w:r>
      <w:r>
        <w:rPr>
          <w:color w:val="00B050"/>
          <w:spacing w:val="-1"/>
          <w:shd w:fill="FFFF00" w:color="auto" w:val="clear"/>
        </w:rPr>
        <w:t> </w:t>
      </w:r>
      <w:r>
        <w:rPr>
          <w:color w:val="00B050"/>
          <w:shd w:fill="FFFF00" w:color="auto" w:val="clear"/>
        </w:rPr>
        <w:t>(within 200</w:t>
      </w:r>
      <w:r>
        <w:rPr>
          <w:color w:val="00B050"/>
          <w:spacing w:val="-3"/>
          <w:shd w:fill="FFFF00" w:color="auto" w:val="clear"/>
        </w:rPr>
        <w:t> </w:t>
      </w:r>
      <w:r>
        <w:rPr>
          <w:color w:val="00B050"/>
          <w:shd w:fill="FFFF00" w:color="auto" w:val="clear"/>
        </w:rPr>
        <w:t>words).</w:t>
      </w:r>
    </w:p>
    <w:p>
      <w:pPr>
        <w:pStyle w:val="BodyText"/>
        <w:ind w:firstLine="0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834" w:val="left" w:leader="none"/>
        </w:tabs>
        <w:spacing w:line="237" w:lineRule="auto" w:before="0" w:after="0"/>
        <w:ind w:left="833" w:right="106" w:hanging="360"/>
        <w:jc w:val="both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Institute is well known for its endeavour towards academic excellence but also because of its HR</w:t>
      </w:r>
      <w:r>
        <w:rPr>
          <w:color w:val="1C1C1C"/>
          <w:spacing w:val="-57"/>
          <w:sz w:val="24"/>
        </w:rPr>
        <w:t> </w:t>
      </w:r>
      <w:r>
        <w:rPr>
          <w:color w:val="1C1C1C"/>
          <w:sz w:val="24"/>
        </w:rPr>
        <w:t>policies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of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empathy,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societal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consciousness,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and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harmonious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relationship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with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its</w:t>
      </w:r>
      <w:r>
        <w:rPr>
          <w:color w:val="1C1C1C"/>
          <w:spacing w:val="60"/>
          <w:sz w:val="24"/>
        </w:rPr>
        <w:t> </w:t>
      </w:r>
      <w:r>
        <w:rPr>
          <w:color w:val="1C1C1C"/>
          <w:sz w:val="24"/>
        </w:rPr>
        <w:t>ambient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culture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and sensitivities.</w:t>
      </w:r>
    </w:p>
    <w:p>
      <w:pPr>
        <w:pStyle w:val="BodyText"/>
        <w:spacing w:before="4"/>
        <w:ind w:firstLine="0"/>
      </w:pPr>
    </w:p>
    <w:p>
      <w:pPr>
        <w:pStyle w:val="ListParagraph"/>
        <w:numPr>
          <w:ilvl w:val="3"/>
          <w:numId w:val="1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154" w:hanging="360"/>
        <w:jc w:val="left"/>
        <w:rPr>
          <w:rFonts w:ascii="Symbol" w:hAnsi="Symbol"/>
          <w:sz w:val="24"/>
        </w:rPr>
      </w:pPr>
      <w:r>
        <w:rPr>
          <w:sz w:val="24"/>
        </w:rPr>
        <w:t>Faculty / Staff Members and the students of the Institute have an all India mix and they celebrate</w:t>
      </w:r>
      <w:r>
        <w:rPr>
          <w:spacing w:val="-57"/>
          <w:sz w:val="24"/>
        </w:rPr>
        <w:t> </w:t>
      </w:r>
      <w:r>
        <w:rPr>
          <w:sz w:val="24"/>
        </w:rPr>
        <w:t>each others' festivals, music and art. </w:t>
      </w:r>
      <w:r>
        <w:rPr>
          <w:color w:val="1C1C1C"/>
          <w:sz w:val="24"/>
        </w:rPr>
        <w:t>Orientation Programs for the students have some artistic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offering from every section of students' home states.</w:t>
      </w:r>
      <w:r>
        <w:rPr>
          <w:color w:val="1C1C1C"/>
          <w:spacing w:val="1"/>
          <w:sz w:val="24"/>
        </w:rPr>
        <w:t> </w:t>
      </w:r>
      <w:r>
        <w:rPr>
          <w:sz w:val="24"/>
        </w:rPr>
        <w:t>Students’ band and cultural events reflect</w:t>
      </w:r>
      <w:r>
        <w:rPr>
          <w:spacing w:val="1"/>
          <w:sz w:val="24"/>
        </w:rPr>
        <w:t> </w:t>
      </w:r>
      <w:r>
        <w:rPr>
          <w:sz w:val="24"/>
        </w:rPr>
        <w:t>diversities</w:t>
      </w:r>
      <w:r>
        <w:rPr>
          <w:spacing w:val="-1"/>
          <w:sz w:val="24"/>
        </w:rPr>
        <w:t> </w:t>
      </w:r>
      <w:r>
        <w:rPr>
          <w:sz w:val="24"/>
        </w:rPr>
        <w:t>in musical/ cultural performances.</w:t>
      </w:r>
    </w:p>
    <w:p>
      <w:pPr>
        <w:pStyle w:val="BodyText"/>
        <w:spacing w:before="1"/>
        <w:ind w:firstLine="0"/>
      </w:pPr>
    </w:p>
    <w:p>
      <w:pPr>
        <w:pStyle w:val="ListParagraph"/>
        <w:numPr>
          <w:ilvl w:val="3"/>
          <w:numId w:val="1"/>
        </w:numPr>
        <w:tabs>
          <w:tab w:pos="833" w:val="left" w:leader="none"/>
          <w:tab w:pos="834" w:val="left" w:leader="none"/>
        </w:tabs>
        <w:spacing w:line="237" w:lineRule="auto" w:before="0" w:after="0"/>
        <w:ind w:left="833" w:right="234" w:hanging="360"/>
        <w:jc w:val="left"/>
        <w:rPr>
          <w:rFonts w:ascii="Symbol" w:hAnsi="Symbol"/>
          <w:b/>
          <w:color w:val="1C1C1C"/>
          <w:sz w:val="24"/>
        </w:rPr>
      </w:pPr>
      <w:r>
        <w:rPr>
          <w:color w:val="1C1C1C"/>
          <w:sz w:val="24"/>
        </w:rPr>
        <w:t>Linguistic differences are assimilated by ensuring a common professional language like English</w:t>
      </w:r>
      <w:r>
        <w:rPr>
          <w:color w:val="1C1C1C"/>
          <w:spacing w:val="-57"/>
          <w:sz w:val="24"/>
        </w:rPr>
        <w:t> </w:t>
      </w:r>
      <w:r>
        <w:rPr>
          <w:color w:val="1C1C1C"/>
          <w:sz w:val="24"/>
        </w:rPr>
        <w:t>during</w:t>
      </w:r>
      <w:r>
        <w:rPr>
          <w:color w:val="1C1C1C"/>
          <w:spacing w:val="-3"/>
          <w:sz w:val="24"/>
        </w:rPr>
        <w:t> </w:t>
      </w:r>
      <w:r>
        <w:rPr>
          <w:color w:val="1C1C1C"/>
          <w:sz w:val="24"/>
        </w:rPr>
        <w:t>working</w:t>
      </w:r>
      <w:r>
        <w:rPr>
          <w:color w:val="1C1C1C"/>
          <w:spacing w:val="-3"/>
          <w:sz w:val="24"/>
        </w:rPr>
        <w:t> </w:t>
      </w:r>
      <w:r>
        <w:rPr>
          <w:color w:val="1C1C1C"/>
          <w:sz w:val="24"/>
        </w:rPr>
        <w:t>hours</w:t>
      </w:r>
      <w:r>
        <w:rPr>
          <w:b/>
          <w:color w:val="1C1C1C"/>
          <w:sz w:val="24"/>
        </w:rPr>
        <w:t>.</w:t>
      </w:r>
    </w:p>
    <w:p>
      <w:pPr>
        <w:pStyle w:val="BodyText"/>
        <w:spacing w:before="2"/>
        <w:ind w:firstLine="0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834" w:val="left" w:leader="none"/>
        </w:tabs>
        <w:spacing w:line="240" w:lineRule="auto" w:before="0" w:after="0"/>
        <w:ind w:left="833" w:right="105" w:hanging="360"/>
        <w:jc w:val="both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Communal</w:t>
      </w:r>
      <w:r>
        <w:rPr>
          <w:color w:val="1C1C1C"/>
          <w:spacing w:val="44"/>
          <w:sz w:val="24"/>
        </w:rPr>
        <w:t> </w:t>
      </w:r>
      <w:r>
        <w:rPr>
          <w:color w:val="1C1C1C"/>
          <w:sz w:val="24"/>
        </w:rPr>
        <w:t>divides</w:t>
      </w:r>
      <w:r>
        <w:rPr>
          <w:color w:val="1C1C1C"/>
          <w:spacing w:val="44"/>
          <w:sz w:val="24"/>
        </w:rPr>
        <w:t> </w:t>
      </w:r>
      <w:r>
        <w:rPr>
          <w:color w:val="1C1C1C"/>
          <w:sz w:val="24"/>
        </w:rPr>
        <w:t>are</w:t>
      </w:r>
      <w:r>
        <w:rPr>
          <w:color w:val="1C1C1C"/>
          <w:spacing w:val="43"/>
          <w:sz w:val="24"/>
        </w:rPr>
        <w:t> </w:t>
      </w:r>
      <w:r>
        <w:rPr>
          <w:color w:val="1C1C1C"/>
          <w:sz w:val="24"/>
        </w:rPr>
        <w:t>rare.</w:t>
      </w:r>
      <w:r>
        <w:rPr>
          <w:color w:val="1C1C1C"/>
          <w:spacing w:val="44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46"/>
          <w:sz w:val="24"/>
        </w:rPr>
        <w:t> </w:t>
      </w:r>
      <w:r>
        <w:rPr>
          <w:color w:val="1C1C1C"/>
          <w:sz w:val="24"/>
        </w:rPr>
        <w:t>Institute</w:t>
      </w:r>
      <w:r>
        <w:rPr>
          <w:color w:val="1C1C1C"/>
          <w:spacing w:val="43"/>
          <w:sz w:val="24"/>
        </w:rPr>
        <w:t> </w:t>
      </w:r>
      <w:r>
        <w:rPr>
          <w:color w:val="1C1C1C"/>
          <w:sz w:val="24"/>
        </w:rPr>
        <w:t>has</w:t>
      </w:r>
      <w:r>
        <w:rPr>
          <w:color w:val="1C1C1C"/>
          <w:spacing w:val="47"/>
          <w:sz w:val="24"/>
        </w:rPr>
        <w:t> </w:t>
      </w:r>
      <w:r>
        <w:rPr>
          <w:color w:val="1C1C1C"/>
          <w:sz w:val="24"/>
        </w:rPr>
        <w:t>a</w:t>
      </w:r>
      <w:r>
        <w:rPr>
          <w:color w:val="1C1C1C"/>
          <w:spacing w:val="45"/>
          <w:sz w:val="24"/>
        </w:rPr>
        <w:t> </w:t>
      </w:r>
      <w:r>
        <w:rPr>
          <w:color w:val="1C1C1C"/>
          <w:sz w:val="24"/>
        </w:rPr>
        <w:t>robust</w:t>
      </w:r>
      <w:r>
        <w:rPr>
          <w:color w:val="1C1C1C"/>
          <w:spacing w:val="45"/>
          <w:sz w:val="24"/>
        </w:rPr>
        <w:t> </w:t>
      </w:r>
      <w:r>
        <w:rPr>
          <w:color w:val="1C1C1C"/>
          <w:sz w:val="24"/>
        </w:rPr>
        <w:t>and</w:t>
      </w:r>
      <w:r>
        <w:rPr>
          <w:color w:val="1C1C1C"/>
          <w:spacing w:val="44"/>
          <w:sz w:val="24"/>
        </w:rPr>
        <w:t> </w:t>
      </w:r>
      <w:r>
        <w:rPr>
          <w:color w:val="1C1C1C"/>
          <w:sz w:val="24"/>
        </w:rPr>
        <w:t>long-standing</w:t>
      </w:r>
      <w:r>
        <w:rPr>
          <w:color w:val="1C1C1C"/>
          <w:spacing w:val="44"/>
          <w:sz w:val="24"/>
        </w:rPr>
        <w:t> </w:t>
      </w:r>
      <w:r>
        <w:rPr>
          <w:color w:val="1C1C1C"/>
          <w:sz w:val="24"/>
        </w:rPr>
        <w:t>commitment</w:t>
      </w:r>
      <w:r>
        <w:rPr>
          <w:color w:val="1C1C1C"/>
          <w:spacing w:val="45"/>
          <w:sz w:val="24"/>
        </w:rPr>
        <w:t> </w:t>
      </w:r>
      <w:r>
        <w:rPr>
          <w:color w:val="1C1C1C"/>
          <w:sz w:val="24"/>
        </w:rPr>
        <w:t>to</w:t>
      </w:r>
      <w:r>
        <w:rPr>
          <w:color w:val="1C1C1C"/>
          <w:spacing w:val="44"/>
          <w:sz w:val="24"/>
        </w:rPr>
        <w:t> </w:t>
      </w:r>
      <w:r>
        <w:rPr>
          <w:color w:val="1C1C1C"/>
          <w:sz w:val="24"/>
        </w:rPr>
        <w:t>its</w:t>
      </w:r>
      <w:r>
        <w:rPr>
          <w:color w:val="1C1C1C"/>
          <w:spacing w:val="-58"/>
          <w:sz w:val="24"/>
        </w:rPr>
        <w:t> </w:t>
      </w:r>
      <w:r>
        <w:rPr>
          <w:color w:val="1C1C1C"/>
          <w:sz w:val="24"/>
        </w:rPr>
        <w:t>social responsibilities. The NSS Cell has undertaken many a socially responsible drive in the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areas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of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charity</w:t>
      </w:r>
      <w:r>
        <w:rPr>
          <w:color w:val="1C1C1C"/>
          <w:spacing w:val="-5"/>
          <w:sz w:val="24"/>
        </w:rPr>
        <w:t> </w:t>
      </w:r>
      <w:r>
        <w:rPr>
          <w:color w:val="1C1C1C"/>
          <w:sz w:val="24"/>
        </w:rPr>
        <w:t>initiatives towards the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underprivileged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in society.</w:t>
      </w:r>
    </w:p>
    <w:p>
      <w:pPr>
        <w:pStyle w:val="BodyText"/>
        <w:spacing w:before="3"/>
        <w:ind w:firstLine="0"/>
      </w:pPr>
    </w:p>
    <w:p>
      <w:pPr>
        <w:pStyle w:val="ListParagraph"/>
        <w:numPr>
          <w:ilvl w:val="3"/>
          <w:numId w:val="1"/>
        </w:numPr>
        <w:tabs>
          <w:tab w:pos="833" w:val="left" w:leader="none"/>
          <w:tab w:pos="834" w:val="left" w:leader="none"/>
        </w:tabs>
        <w:spacing w:line="237" w:lineRule="auto" w:before="1" w:after="0"/>
        <w:ind w:left="833" w:right="110" w:hanging="360"/>
        <w:jc w:val="left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Differently-abled</w:t>
      </w:r>
      <w:r>
        <w:rPr>
          <w:color w:val="1C1C1C"/>
          <w:spacing w:val="2"/>
          <w:sz w:val="24"/>
        </w:rPr>
        <w:t> </w:t>
      </w:r>
      <w:r>
        <w:rPr>
          <w:color w:val="1C1C1C"/>
          <w:sz w:val="24"/>
        </w:rPr>
        <w:t>students, staff, or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teachers</w:t>
      </w:r>
      <w:r>
        <w:rPr>
          <w:color w:val="1C1C1C"/>
          <w:spacing w:val="4"/>
          <w:sz w:val="24"/>
        </w:rPr>
        <w:t> </w:t>
      </w:r>
      <w:r>
        <w:rPr>
          <w:color w:val="1C1C1C"/>
          <w:sz w:val="24"/>
        </w:rPr>
        <w:t>are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supported with ramps, lift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facilities, even</w:t>
      </w:r>
      <w:r>
        <w:rPr>
          <w:color w:val="1C1C1C"/>
          <w:spacing w:val="2"/>
          <w:sz w:val="24"/>
        </w:rPr>
        <w:t> </w:t>
      </w:r>
      <w:r>
        <w:rPr>
          <w:color w:val="1C1C1C"/>
          <w:sz w:val="24"/>
        </w:rPr>
        <w:t>special</w:t>
      </w:r>
      <w:r>
        <w:rPr>
          <w:color w:val="1C1C1C"/>
          <w:spacing w:val="-57"/>
          <w:sz w:val="24"/>
        </w:rPr>
        <w:t> </w:t>
      </w:r>
      <w:r>
        <w:rPr>
          <w:color w:val="1C1C1C"/>
          <w:sz w:val="24"/>
        </w:rPr>
        <w:t>assisting</w:t>
      </w:r>
      <w:r>
        <w:rPr>
          <w:color w:val="1C1C1C"/>
          <w:spacing w:val="-4"/>
          <w:sz w:val="24"/>
        </w:rPr>
        <w:t> </w:t>
      </w:r>
      <w:r>
        <w:rPr>
          <w:color w:val="1C1C1C"/>
          <w:sz w:val="24"/>
        </w:rPr>
        <w:t>staff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members designated.</w:t>
      </w:r>
    </w:p>
    <w:p>
      <w:pPr>
        <w:pStyle w:val="BodyText"/>
        <w:spacing w:before="2"/>
        <w:ind w:firstLine="0"/>
      </w:pPr>
    </w:p>
    <w:p>
      <w:pPr>
        <w:pStyle w:val="ListParagraph"/>
        <w:numPr>
          <w:ilvl w:val="3"/>
          <w:numId w:val="1"/>
        </w:numPr>
        <w:tabs>
          <w:tab w:pos="834" w:val="left" w:leader="none"/>
        </w:tabs>
        <w:spacing w:line="240" w:lineRule="auto" w:before="0" w:after="0"/>
        <w:ind w:left="833" w:right="105" w:hanging="360"/>
        <w:jc w:val="both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Group Discussions on LGBTQ Awareness, Rights, and Empowerment are topics of discourse in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the Soft Skills Sessions. This is done to remove, at the very outset of hostel life, misgivings and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apprehensions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among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students,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and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encouraging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sensitization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and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inclusivity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of</w:t>
      </w:r>
      <w:r>
        <w:rPr>
          <w:color w:val="1C1C1C"/>
          <w:spacing w:val="60"/>
          <w:sz w:val="24"/>
        </w:rPr>
        <w:t> </w:t>
      </w:r>
      <w:r>
        <w:rPr>
          <w:color w:val="1C1C1C"/>
          <w:sz w:val="24"/>
        </w:rPr>
        <w:t>approach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towards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campus life.</w:t>
      </w:r>
    </w:p>
    <w:sectPr>
      <w:type w:val="continuous"/>
      <w:pgSz w:w="11910" w:h="16840"/>
      <w:pgMar w:top="13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"/>
      <w:lvlJc w:val="left"/>
      <w:pPr>
        <w:ind w:left="113" w:hanging="6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" w:hanging="617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13" w:hanging="617"/>
        <w:jc w:val="left"/>
      </w:pPr>
      <w:rPr>
        <w:rFonts w:hint="default" w:ascii="Times New Roman" w:hAnsi="Times New Roman" w:eastAsia="Times New Roman" w:cs="Times New Roman"/>
        <w:b/>
        <w:bCs/>
        <w:color w:val="00B050"/>
        <w:w w:val="100"/>
        <w:sz w:val="24"/>
        <w:szCs w:val="24"/>
        <w:shd w:fill="FFFF00" w:color="auto" w:val="clear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3" w:right="106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right="105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2021-12-15T07:51:03Z</dcterms:created>
  <dcterms:modified xsi:type="dcterms:W3CDTF">2021-12-15T07:51:03Z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